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0.png" ContentType="image/png"/>
  <Override PartName="/word/media/rId67.png" ContentType="image/png"/>
  <Override PartName="/word/media/rId70.png" ContentType="image/png"/>
  <Override PartName="/word/media/rId73.png" ContentType="image/png"/>
  <Override PartName="/word/media/rId76.png" ContentType="image/png"/>
  <Override PartName="/word/media/rId58.png" ContentType="image/png"/>
  <Override PartName="/word/media/rId61.png" ContentType="image/png"/>
  <Override PartName="/word/media/rId64.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evaluates the the OSP suite’s performance at predicting drug clearance in patients with chronic kidney disease (CKD).</w:t>
      </w:r>
    </w:p>
    <w:p>
      <w:pPr>
        <w:pStyle w:val="Textkrper"/>
      </w:pPr>
      <w:r>
        <w:t xml:space="preserve">Patients with impaired kidney function will often require different dosing regimens than their healthy counterparts. In the absence of clinical data, predicting the correct dosing regimens is challenging, owing in part to the fact that CKD is a systemic and multifaceted disease that alters many body systems. To address this, Malik et al. (2020)</w:t>
      </w:r>
      <w:r>
        <w:t xml:space="preserve">1</w:t>
      </w:r>
      <w:r>
        <w:t xml:space="preserve"> </w:t>
      </w:r>
      <w:r>
        <w:t xml:space="preserve">developed a whole-body mechanistic approach to predict pharmacokinetics in patients with CKD. Their method has now been implemented in the OPS suite, and is the subject of the current evaluation.</w:t>
      </w:r>
    </w:p>
    <w:p>
      <w:pPr>
        <w:pStyle w:val="Textkrper"/>
      </w:pPr>
      <w:r>
        <w:t xml:space="preserve">This report evaluates the performance of the virtual CKD population on 7 compounds, replicating the evaluation done in the original paper by Malik et al. Section 2 describes the algorithm used to generate CKD populations. Section 3 evaluates the predicted effects of CKD on drug clearance for seven compounds: Gabapentin, Acebutolol, Atenolol, Gentamicin, Pindolol, Sotalol, and Vancomycin. Evaluation for each compound is split into two steps: an initial model calibration against a healthy population, followed by an extension to a population suffering from CKD. For a more detailed analysis, see the supplementary information from Malik et al.</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suffering from CKD, the user must specify a target glomerular filtration rate (GFR). From there, PK-Sim will first generate a healthy population using the standard algorithm,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PBPK model outlined above was evaluated on seven compounds, comparing the predicted pharmacokinetics to clinical pharmacokinetic data. Each subsection that follows will contain an introduction to the compound under consideration, a description of the PBPK model in a healthy population, and the subsequent extension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fraction unbound to plasma proteins.</w:t>
      </w:r>
    </w:p>
    <w:p>
      <w:pPr>
        <w:pStyle w:val="Textkrper"/>
      </w:pPr>
    </w:p>
    <w:bookmarkStart w:id="31" w:name="gabapentin-in-a-healthy-population"/>
    <w:p>
      <w:pPr>
        <w:pStyle w:val="berschrift3"/>
      </w:pPr>
      <w:r>
        <w:t xml:space="preserve">Gabapentin in a Healthy Population</w:t>
      </w:r>
    </w:p>
    <w:p>
      <w:pPr>
        <w:pStyle w:val="FirstParagraph"/>
      </w:pPr>
      <w:r>
        <w:t xml:space="preserve">A population of individuals based on Tjandrawinata 2014 subjects was defined using the physiological database of PK-Sim.</w:t>
      </w:r>
      <w:r>
        <w:t xml:space="preserve">33,2</w:t>
      </w:r>
      <w:r>
        <w:t xml:space="preserve"> </w:t>
      </w: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Tjandrawinata 2014 study data.</w:t>
      </w:r>
      <w:r>
        <w:t xml:space="preserve">33</w:t>
      </w:r>
    </w:p>
    <w:p>
      <w:r>
        <w:br w:type="page"/>
      </w:r>
    </w:p>
    <w:p>
      <w:pPr>
        <w:pStyle w:val="CaptionedFigure"/>
      </w:pPr>
      <w:r>
        <w:drawing>
          <wp:inline>
            <wp:extent cx="5969000" cy="4083790"/>
            <wp:effectExtent b="0" l="0" r="0" t="0"/>
            <wp:docPr descr="Figure 1: Time Profile Analysis"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Time Profile Analysis</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Using the model from the healthy population from the previous section, two new populations, with target GFRs of 45 (30-59) and 15 (0-30) mL/min/1.73 m</w:t>
      </w:r>
      <w:r>
        <w:t xml:space="preserve">2</w:t>
      </w:r>
      <w:r>
        <w:t xml:space="preserve">, were created following the procedure described in section 2. Simulation results were compared to data reported in Blum et al. 1994</w:t>
      </w:r>
      <w:r>
        <w:t xml:space="preserve">34</w:t>
      </w:r>
      <w:r>
        <w:t xml:space="preserve">. The results are reported in figures 3.1.2 and 3.1.3.</w:t>
      </w:r>
    </w:p>
    <w:p>
      <w:r>
        <w:br w:type="page"/>
      </w:r>
    </w:p>
    <w:p>
      <w:pPr>
        <w:pStyle w:val="CaptionedFigure"/>
      </w:pPr>
      <w:r>
        <w:drawing>
          <wp:inline>
            <wp:extent cx="5969000" cy="4083790"/>
            <wp:effectExtent b="0" l="0" r="0" t="0"/>
            <wp:docPr descr="Figure 2: Time Profile Analysis"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Time Profile Analysis</w:t>
      </w:r>
    </w:p>
    <w:p>
      <w:pPr>
        <w:pStyle w:val="Textkrper"/>
      </w:pPr>
      <w:r>
        <w:t xml:space="preserve"> </w:t>
      </w:r>
    </w:p>
    <w:p>
      <w:r>
        <w:br w:type="page"/>
      </w:r>
    </w:p>
    <w:p>
      <w:pPr>
        <w:pStyle w:val="CaptionedFigure"/>
      </w:pPr>
      <w:r>
        <w:drawing>
          <wp:inline>
            <wp:extent cx="5969000" cy="4083790"/>
            <wp:effectExtent b="0" l="0" r="0" t="0"/>
            <wp:docPr descr="Figure 3: Time Profile Analysis"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Time Profile Analysis</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pPr>
        <w:pStyle w:val="FirstParagraph"/>
      </w:pPr>
      <w:r>
        <w:t xml:space="preserve">A population of individuals based on Roux 1980 subjects was defined using the physiological database of PK-Sim.</w:t>
      </w:r>
      <w:r>
        <w:t xml:space="preserve">37,2</w:t>
      </w:r>
      <w:r>
        <w:t xml:space="preserve"> </w:t>
      </w: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IV-oral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KMET concentration</w:t>
            </w:r>
          </w:p>
        </w:tc>
        <w:tc>
          <w:tcPr/>
          <w:p>
            <w:pPr>
              <w:pStyle w:val="Compact"/>
              <w:jc w:val="left"/>
            </w:pPr>
            <w:r>
              <w:t xml:space="preserve">log-normally distributed with mean 1.0 µM and geometric SD 1.40 µM</w:t>
            </w:r>
          </w:p>
        </w:tc>
      </w:tr>
      <w:tr>
        <w:tc>
          <w:tcPr/>
          <w:p>
            <w:pPr>
              <w:pStyle w:val="Compact"/>
              <w:jc w:val="left"/>
            </w:pPr>
            <w:r>
              <w:t xml:space="preserve">KMET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KMET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w:t>
      </w:r>
      <w:r>
        <w:t xml:space="preserve"> </w:t>
      </w:r>
      <m:oMath>
        <m:r>
          <m:rPr>
            <m:nor/>
            <m:sty m:val="p"/>
          </m:rPr>
          <m:t>Permeability x Surface Area</m:t>
        </m:r>
      </m:oMath>
      <w:r>
        <w:t xml:space="preserve"> </w:t>
      </w:r>
      <w:r>
        <w:t xml:space="preserve">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KMET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Time Profile Analysis"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Time Profile Analysis</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Using the model from the healthy population from the previous section, three new populations, with target GFRs of 46 (32-56), 20 (16-26), and 9 (6-14) mL/min/1.73 m</w:t>
      </w:r>
      <w:r>
        <w:t xml:space="preserve">2</w:t>
      </w:r>
      <w:r>
        <w:t xml:space="preserve">, were created following the procedure described in section 2. Simulation results were compared to data reported in Roux et al. 1980</w:t>
      </w:r>
      <w:r>
        <w:t xml:space="preserve">37</w:t>
      </w:r>
      <w:r>
        <w:t xml:space="preserve">. There was very little difference in the predicted plasma concentrations across each of the three groups, and so for the purposes of this evaluation we have combined the three into a single population. The results are reported in figure 3.2.2.</w:t>
      </w:r>
    </w:p>
    <w:p>
      <w:r>
        <w:br w:type="page"/>
      </w:r>
    </w:p>
    <w:p>
      <w:pPr>
        <w:pStyle w:val="CaptionedFigure"/>
      </w:pPr>
      <w:r>
        <w:drawing>
          <wp:inline>
            <wp:extent cx="5969000" cy="4083790"/>
            <wp:effectExtent b="0" l="0" r="0" t="0"/>
            <wp:docPr descr="Figure 5: Time Profile Analysis"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Time Profile Analysis</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that does not have membrane stabilizing or intrinsic sympathomimetic activities.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w:t>
      </w:r>
      <w:r>
        <w:t xml:space="preserve">49</w:t>
      </w:r>
      <w:r>
        <w:t xml:space="preserve"> </w:t>
      </w:r>
      <w:r>
        <w:t xml:space="preserve">Following oral administration, 50-60% of atenolol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and an inhibitor for the organic cation transporter 2 (OCT2/SLC22A2) on the basolateral side of tubular cells and is a substrate for the multidrug and toxic compound extrusion proteins (MATE1, MATE2/2-K) on the apical side.</w:t>
      </w:r>
      <w:r>
        <w:t xml:space="preserve">50</w:t>
      </w:r>
    </w:p>
    <w:p>
      <w:pPr>
        <w:pStyle w:val="Textkrper"/>
      </w:pPr>
    </w:p>
    <w:bookmarkStart w:id="57" w:name="atenolol-in-a-healthy-population"/>
    <w:p>
      <w:pPr>
        <w:pStyle w:val="berschrift3"/>
      </w:pPr>
      <w:r>
        <w:t xml:space="preserve">Atenolol in a Healthy Population</w:t>
      </w:r>
    </w:p>
    <w:p>
      <w:pPr>
        <w:pStyle w:val="FirstParagraph"/>
      </w:pPr>
      <w:r>
        <w:t xml:space="preserve">A population of individuals based on Wan 1979 subjects was defined using the physiological database of PK-Sim.</w:t>
      </w:r>
      <w:r>
        <w:t xml:space="preserve">56,2</w:t>
      </w:r>
      <w:r>
        <w:t xml:space="preserve"> </w:t>
      </w: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49" w:name="iv-model"/>
    <w:p>
      <w:pPr>
        <w:pStyle w:val="berschrift5"/>
      </w:pPr>
      <w:r>
        <w:t xml:space="preserve">IV model</w:t>
      </w:r>
    </w:p>
    <w:p>
      <w:r>
        <w:br w:type="page"/>
      </w:r>
    </w:p>
    <w:p>
      <w:pPr>
        <w:pStyle w:val="FirstParagraph"/>
      </w:pPr>
      <w:r>
        <w:rPr>
          <w:bCs/>
          <w:b/>
        </w:rPr>
        <w:t xml:space="preserve">Table 1. Physicochemical properties and ADME of atenolol for IV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w:t>
      </w:r>
      <w:r>
        <w:t xml:space="preserve"> </w:t>
      </w:r>
      <m:oMath>
        <m:r>
          <m:rPr>
            <m:nor/>
            <m:sty m:val="p"/>
          </m:rPr>
          <m:t>Permeability x Surface Area</m:t>
        </m:r>
      </m:oMath>
      <w:r>
        <w:t xml:space="preserve"> </w:t>
      </w:r>
      <w:r>
        <w:t xml:space="preserve">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6"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atenolol oral model construction</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and 3.3.2 demonstrate the simulated oral model PK profiles in a population compared against observed Wan 1979, 50 mg PO and 100 mg PO study data, respectively.</w:t>
      </w:r>
      <w:r>
        <w:t xml:space="preserve">56</w:t>
      </w:r>
      <w:r>
        <w:t xml:space="preserve">.</w:t>
      </w:r>
    </w:p>
    <w:p>
      <w:r>
        <w:br w:type="page"/>
      </w:r>
    </w:p>
    <w:p>
      <w:pPr>
        <w:pStyle w:val="CaptionedFigure"/>
      </w:pPr>
      <w:r>
        <w:drawing>
          <wp:inline>
            <wp:extent cx="5969000" cy="4083790"/>
            <wp:effectExtent b="0" l="0" r="0" t="0"/>
            <wp:docPr descr="Figure 6: Time Profile Analysis"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Time Profile Analysis</w:t>
      </w:r>
    </w:p>
    <w:p>
      <w:pPr>
        <w:pStyle w:val="Textkrper"/>
      </w:pPr>
      <w:r>
        <w:t xml:space="preserve"> </w:t>
      </w:r>
    </w:p>
    <w:p>
      <w:r>
        <w:br w:type="page"/>
      </w:r>
    </w:p>
    <w:p>
      <w:pPr>
        <w:pStyle w:val="CaptionedFigure"/>
      </w:pPr>
      <w:r>
        <w:drawing>
          <wp:inline>
            <wp:extent cx="5969000" cy="4083790"/>
            <wp:effectExtent b="0" l="0" r="0" t="0"/>
            <wp:docPr descr="Figure 7: Time Profile Analysis"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Time Profile Analysis</w:t>
      </w:r>
    </w:p>
    <w:p>
      <w:pPr>
        <w:pStyle w:val="Textkrper"/>
      </w:pPr>
      <w:r>
        <w:t xml:space="preserve"> </w:t>
      </w:r>
    </w:p>
    <w:p>
      <w:pPr>
        <w:pStyle w:val="Textkrper"/>
      </w:pPr>
    </w:p>
    <w:bookmarkEnd w:id="56"/>
    <w:bookmarkEnd w:id="57"/>
    <w:bookmarkStart w:id="79" w:name="atenolol-in-a-ckd-population"/>
    <w:p>
      <w:pPr>
        <w:pStyle w:val="berschrift3"/>
      </w:pPr>
      <w:r>
        <w:t xml:space="preserve">Atenolol in a CKD Population</w:t>
      </w:r>
    </w:p>
    <w:p>
      <w:pPr>
        <w:pStyle w:val="FirstParagraph"/>
      </w:pPr>
      <w:r>
        <w:t xml:space="preserve">For the IV model, three populations, with target GFRs of 60 (30-90), 20 (10-30), and 5 (5-10), were created following the procedure described in section 2. Simulation results were compared to data reported in Kirch et al. 1980.</w:t>
      </w:r>
      <w:r>
        <w:t xml:space="preserve">53</w:t>
      </w:r>
      <w:r>
        <w:t xml:space="preserve"> </w:t>
      </w:r>
      <w:r>
        <w:t xml:space="preserve">The results are reported in figures 3.3.3-5.</w:t>
      </w:r>
    </w:p>
    <w:p>
      <w:pPr>
        <w:pStyle w:val="Textkrper"/>
      </w:pPr>
      <w:r>
        <w:t xml:space="preserve">For the oral model, two populations, with target GFRs of 54±4 and 16±4 mL/min/1.73 m</w:t>
      </w:r>
      <w:r>
        <w:t xml:space="preserve">2</w:t>
      </w:r>
      <w:r>
        <w:t xml:space="preserve">, were created following the procedure described in section 2. Simulation results were compared to data reported in Sassard et al. 1977</w:t>
      </w:r>
      <w:r>
        <w:t xml:space="preserve">66</w:t>
      </w:r>
      <w:r>
        <w:t xml:space="preserve">. The results are reported in figures 3.3.6 and 3.3.7.</w:t>
      </w:r>
    </w:p>
    <w:p>
      <w:r>
        <w:br w:type="page"/>
      </w:r>
    </w:p>
    <w:p>
      <w:pPr>
        <w:pStyle w:val="CaptionedFigure"/>
      </w:pPr>
      <w:r>
        <w:drawing>
          <wp:inline>
            <wp:extent cx="5969000" cy="4083790"/>
            <wp:effectExtent b="0" l="0" r="0" t="0"/>
            <wp:docPr descr="Figure 8: Time Profile Analysis" title="" id="59" name="Picture"/>
            <a:graphic>
              <a:graphicData uri="http://schemas.openxmlformats.org/drawingml/2006/picture">
                <pic:pic>
                  <pic:nvPicPr>
                    <pic:cNvPr descr="images/003_section_undefined-section-3/010_section_undefined-section-10/012_section_Atenolol_CKD/7_time_profile_plot_Atenolol_Kirch_CKD3_100_mg_PO.png" id="60" name="Picture"/>
                    <pic:cNvPicPr>
                      <a:picLocks noChangeArrowheads="1" noChangeAspect="1"/>
                    </pic:cNvPicPr>
                  </pic:nvPicPr>
                  <pic:blipFill>
                    <a:blip r:embed="rId5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Time Profile Analysis</w:t>
      </w:r>
    </w:p>
    <w:p>
      <w:pPr>
        <w:pStyle w:val="Textkrper"/>
      </w:pPr>
      <w:r>
        <w:t xml:space="preserve"> </w:t>
      </w:r>
    </w:p>
    <w:p>
      <w:r>
        <w:br w:type="page"/>
      </w:r>
    </w:p>
    <w:p>
      <w:pPr>
        <w:pStyle w:val="CaptionedFigure"/>
      </w:pPr>
      <w:r>
        <w:drawing>
          <wp:inline>
            <wp:extent cx="5969000" cy="4083790"/>
            <wp:effectExtent b="0" l="0" r="0" t="0"/>
            <wp:docPr descr="Figure 9: Time Profile Analysis" title="" id="62" name="Picture"/>
            <a:graphic>
              <a:graphicData uri="http://schemas.openxmlformats.org/drawingml/2006/picture">
                <pic:pic>
                  <pic:nvPicPr>
                    <pic:cNvPr descr="images/003_section_undefined-section-3/010_section_undefined-section-10/012_section_Atenolol_CKD/8_time_profile_plot_Atenolol_Kirch_CKD4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Time Profile Analysis</w:t>
      </w:r>
    </w:p>
    <w:p>
      <w:pPr>
        <w:pStyle w:val="Textkrper"/>
      </w:pPr>
      <w:r>
        <w:t xml:space="preserve"> </w:t>
      </w:r>
    </w:p>
    <w:p>
      <w:r>
        <w:br w:type="page"/>
      </w:r>
    </w:p>
    <w:p>
      <w:pPr>
        <w:pStyle w:val="CaptionedFigure"/>
      </w:pPr>
      <w:r>
        <w:drawing>
          <wp:inline>
            <wp:extent cx="5969000" cy="4083790"/>
            <wp:effectExtent b="0" l="0" r="0" t="0"/>
            <wp:docPr descr="Figure 10: Time Profile Analysis" title="" id="65" name="Picture"/>
            <a:graphic>
              <a:graphicData uri="http://schemas.openxmlformats.org/drawingml/2006/picture">
                <pic:pic>
                  <pic:nvPicPr>
                    <pic:cNvPr descr="images/003_section_undefined-section-3/010_section_undefined-section-10/012_section_Atenolol_CKD/9_time_profile_plot_Atenolol_Kirch_CKD5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Time Profile Analysis</w:t>
      </w:r>
    </w:p>
    <w:p>
      <w:pPr>
        <w:pStyle w:val="Textkrper"/>
      </w:pPr>
      <w:r>
        <w:t xml:space="preserve"> </w:t>
      </w:r>
    </w:p>
    <w:p>
      <w:r>
        <w:br w:type="page"/>
      </w:r>
    </w:p>
    <w:p>
      <w:pPr>
        <w:pStyle w:val="CaptionedFigure"/>
      </w:pPr>
      <w:r>
        <w:drawing>
          <wp:inline>
            <wp:extent cx="5969000" cy="4083790"/>
            <wp:effectExtent b="0" l="0" r="0" t="0"/>
            <wp:docPr descr="Figure 11: Time Profile Analysis" title="" id="68" name="Picture"/>
            <a:graphic>
              <a:graphicData uri="http://schemas.openxmlformats.org/drawingml/2006/picture">
                <pic:pic>
                  <pic:nvPicPr>
                    <pic:cNvPr descr="images/003_section_undefined-section-3/010_section_undefined-section-10/012_section_Atenolol_CKD/11_time_profile_plot_Atenolol_Sassard_CKD3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Time Profile Analysis</w:t>
      </w:r>
    </w:p>
    <w:p>
      <w:pPr>
        <w:pStyle w:val="Textkrper"/>
      </w:pPr>
      <w:r>
        <w:t xml:space="preserve"> </w:t>
      </w:r>
    </w:p>
    <w:p>
      <w:r>
        <w:br w:type="page"/>
      </w:r>
    </w:p>
    <w:p>
      <w:pPr>
        <w:pStyle w:val="CaptionedFigure"/>
      </w:pPr>
      <w:r>
        <w:drawing>
          <wp:inline>
            <wp:extent cx="5969000" cy="4083790"/>
            <wp:effectExtent b="0" l="0" r="0" t="0"/>
            <wp:docPr descr="Figure 12: Time Profile Analysis" title="" id="71" name="Picture"/>
            <a:graphic>
              <a:graphicData uri="http://schemas.openxmlformats.org/drawingml/2006/picture">
                <pic:pic>
                  <pic:nvPicPr>
                    <pic:cNvPr descr="images/003_section_undefined-section-3/010_section_undefined-section-10/012_section_Atenolol_CKD/12_time_profile_plot_Atenolol_Sassard_CKD4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Time Profile Analysis</w:t>
      </w:r>
    </w:p>
    <w:p>
      <w:pPr>
        <w:pStyle w:val="Textkrper"/>
      </w:pPr>
      <w:r>
        <w:t xml:space="preserve"> </w:t>
      </w:r>
    </w:p>
    <w:p>
      <w:r>
        <w:br w:type="page"/>
      </w:r>
    </w:p>
    <w:p>
      <w:pPr>
        <w:pStyle w:val="CaptionedFigure"/>
      </w:pPr>
      <w:r>
        <w:drawing>
          <wp:inline>
            <wp:extent cx="5969000" cy="4083790"/>
            <wp:effectExtent b="0" l="0" r="0" t="0"/>
            <wp:docPr descr="Figure 13: Time Profile Analysis" title="" id="74" name="Picture"/>
            <a:graphic>
              <a:graphicData uri="http://schemas.openxmlformats.org/drawingml/2006/picture">
                <pic:pic>
                  <pic:nvPicPr>
                    <pic:cNvPr descr="images/003_section_undefined-section-3/010_section_undefined-section-10/012_section_Atenolol_CKD/13_time_profile_plot_Atenolol_Wan_Healthy_50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Time Profile Analysis</w:t>
      </w:r>
    </w:p>
    <w:p>
      <w:pPr>
        <w:pStyle w:val="Textkrper"/>
      </w:pPr>
      <w:r>
        <w:t xml:space="preserve"> </w:t>
      </w:r>
    </w:p>
    <w:p>
      <w:r>
        <w:br w:type="page"/>
      </w:r>
    </w:p>
    <w:p>
      <w:pPr>
        <w:pStyle w:val="CaptionedFigure"/>
      </w:pPr>
      <w:r>
        <w:drawing>
          <wp:inline>
            <wp:extent cx="5969000" cy="4083790"/>
            <wp:effectExtent b="0" l="0" r="0" t="0"/>
            <wp:docPr descr="Figure 14: Time Profile Analysis"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Time Profile Analysis</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0" Target="media/rId50.png" /><Relationship Type="http://schemas.openxmlformats.org/officeDocument/2006/relationships/image" Id="rId67" Target="media/rId67.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58" Target="media/rId58.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2022-04-29T20:57:49Z</dcterms:created>
  <dcterms:modified xsi:type="dcterms:W3CDTF">2022-04-29T20:57:49Z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